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3D" w:rsidRDefault="00626A3D" w:rsidP="00626A3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CE7CA0" wp14:editId="608FFC23">
            <wp:extent cx="704850" cy="679450"/>
            <wp:effectExtent l="0" t="0" r="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3D" w:rsidRDefault="00626A3D" w:rsidP="00626A3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626A3D" w:rsidRDefault="00626A3D" w:rsidP="00626A3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626A3D" w:rsidRDefault="00626A3D" w:rsidP="00626A3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A3D" w:rsidRDefault="00626A3D" w:rsidP="00626A3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626A3D" w:rsidRDefault="00626A3D" w:rsidP="00626A3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626A3D" w:rsidRDefault="00626A3D" w:rsidP="00626A3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A3D" w:rsidRDefault="00626A3D" w:rsidP="00626A3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626A3D" w:rsidRDefault="00626A3D" w:rsidP="00626A3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6A3D" w:rsidRDefault="00626A3D" w:rsidP="00626A3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26A3D" w:rsidRDefault="00626A3D" w:rsidP="00626A3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A3D" w:rsidRDefault="00131BAC" w:rsidP="00626A3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626A3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6A3D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626A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626A3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626A3D" w:rsidRDefault="00626A3D" w:rsidP="00626A3D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626A3D" w:rsidRDefault="00626A3D" w:rsidP="00626A3D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6A3D" w:rsidRDefault="00185933" w:rsidP="00626A3D">
      <w:pPr>
        <w:spacing w:after="0" w:line="240" w:lineRule="auto"/>
        <w:ind w:right="396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</w:t>
      </w:r>
      <w:r w:rsidR="00626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мероприятий, направленных на профилактику нарушений обязательных требований законодательства при осуществлении муниципального жилищного контроля на территории сельского поселения Выкатной на 2021 год и плановый период 2022-2023 годы</w:t>
      </w:r>
    </w:p>
    <w:p w:rsidR="00626A3D" w:rsidRDefault="00626A3D" w:rsidP="00626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A3D" w:rsidRDefault="00626A3D" w:rsidP="00626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A3D" w:rsidRPr="00626A3D" w:rsidRDefault="00626A3D" w:rsidP="00626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A3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626A3D">
        <w:rPr>
          <w:rFonts w:ascii="Times New Roman" w:eastAsia="Times New Roman" w:hAnsi="Times New Roman"/>
          <w:sz w:val="28"/>
          <w:szCs w:val="28"/>
          <w:lang w:eastAsia="ru-RU"/>
        </w:rPr>
        <w:t>,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626A3D" w:rsidRPr="00626A3D" w:rsidRDefault="00626A3D" w:rsidP="00626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A3D">
        <w:rPr>
          <w:rFonts w:ascii="Times New Roman" w:eastAsia="Times New Roman" w:hAnsi="Times New Roman"/>
          <w:sz w:val="28"/>
          <w:szCs w:val="28"/>
          <w:lang w:eastAsia="ru-RU"/>
        </w:rPr>
        <w:t>1. Утвердить Программу мероприятий, направленных на профилактику нарушений обязательных требований законодательства при осуществлении муниципального жилищного контроля на территории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626A3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26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626A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6A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6A3D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6A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согласно приложению.</w:t>
      </w:r>
    </w:p>
    <w:p w:rsidR="00626A3D" w:rsidRPr="00471755" w:rsidRDefault="00626A3D" w:rsidP="00626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71755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626A3D" w:rsidRPr="00471755" w:rsidRDefault="00626A3D" w:rsidP="00626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1755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26A3D" w:rsidRDefault="00626A3D" w:rsidP="00626A3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A3D" w:rsidRDefault="00626A3D" w:rsidP="00626A3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A3D" w:rsidRDefault="00626A3D" w:rsidP="00626A3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A3D" w:rsidRPr="00FB3C33" w:rsidRDefault="00626A3D" w:rsidP="00626A3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3C33">
        <w:rPr>
          <w:rFonts w:ascii="Times New Roman" w:hAnsi="Times New Roman"/>
          <w:sz w:val="28"/>
          <w:szCs w:val="28"/>
        </w:rPr>
        <w:t>Глава сельского</w:t>
      </w:r>
    </w:p>
    <w:p w:rsidR="00626A3D" w:rsidRDefault="00626A3D" w:rsidP="00626A3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3C33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626A3D" w:rsidRPr="00FB3C33" w:rsidRDefault="00626A3D" w:rsidP="00626A3D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A3D" w:rsidRPr="00FB3C33" w:rsidRDefault="00626A3D" w:rsidP="00626A3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сельского поселения Выкатной</w:t>
      </w:r>
    </w:p>
    <w:p w:rsidR="00626A3D" w:rsidRDefault="00626A3D" w:rsidP="00626A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131BAC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31BA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131BA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bookmarkStart w:id="1" w:name="_GoBack"/>
      <w:bookmarkEnd w:id="1"/>
    </w:p>
    <w:p w:rsidR="00E12ACD" w:rsidRDefault="00E12ACD" w:rsidP="00626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A3D" w:rsidRDefault="00626A3D" w:rsidP="00626A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3D">
        <w:rPr>
          <w:rFonts w:ascii="Times New Roman" w:eastAsia="Times New Roman" w:hAnsi="Times New Roman"/>
          <w:sz w:val="24"/>
          <w:szCs w:val="24"/>
          <w:lang w:eastAsia="ru-RU"/>
        </w:rPr>
        <w:t>Программа мероприятий, направленных на профилактику нарушений</w:t>
      </w:r>
    </w:p>
    <w:p w:rsidR="00626A3D" w:rsidRDefault="00626A3D" w:rsidP="00626A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3D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 законодательства при осуществлении муниципального жилищного контроля на территории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26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26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626A3D" w:rsidRPr="00626A3D" w:rsidRDefault="00626A3D" w:rsidP="00626A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3D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26A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Pr="00626A3D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26A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</w:t>
      </w:r>
    </w:p>
    <w:p w:rsidR="00626A3D" w:rsidRPr="00626A3D" w:rsidRDefault="00626A3D" w:rsidP="00626A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3D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0C289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626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Программа) </w:t>
      </w:r>
      <w:r w:rsidRPr="00626A3D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2" w:name="P000F"/>
      <w:bookmarkEnd w:id="2"/>
    </w:p>
    <w:p w:rsidR="00D35B3F" w:rsidRDefault="00626A3D" w:rsidP="00626A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3D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626A3D" w:rsidRPr="00626A3D" w:rsidRDefault="00626A3D" w:rsidP="00626A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26A3D" w:rsidTr="00626A3D">
        <w:tc>
          <w:tcPr>
            <w:tcW w:w="2689" w:type="dxa"/>
          </w:tcPr>
          <w:p w:rsidR="00626A3D" w:rsidRPr="006B6916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656" w:type="dxa"/>
          </w:tcPr>
          <w:p w:rsidR="00626A3D" w:rsidRPr="006B6916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мероприятий, направленных на профилактику нарушений обязательных требований законодательства при осуществлении муниципального жилищного контроля на территории 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 на 2021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годы</w:t>
            </w:r>
          </w:p>
        </w:tc>
      </w:tr>
      <w:tr w:rsidR="00626A3D" w:rsidTr="00626A3D">
        <w:tc>
          <w:tcPr>
            <w:tcW w:w="2689" w:type="dxa"/>
          </w:tcPr>
          <w:p w:rsidR="00626A3D" w:rsidRPr="006B6916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656" w:type="dxa"/>
          </w:tcPr>
          <w:p w:rsidR="00626A3D" w:rsidRPr="006B6916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26.12.2008 </w:t>
            </w:r>
            <w:r w:rsidRPr="0062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294-ФЗ «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62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2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26 декабря 2018 года </w:t>
            </w:r>
            <w:r w:rsidRPr="0062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1680 </w:t>
            </w:r>
            <w:r w:rsidRPr="0062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      </w:r>
            <w:r w:rsidRPr="0062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 правовыми актами»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Стандарт комплексной профилактики рисков причинения вреда охраняемых законом ценностям, утвержденный протоколом заседания проектного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омитета приоритетной программы «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 контр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ольной и надзорной деятельности»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 марта 2018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</w:p>
        </w:tc>
      </w:tr>
      <w:tr w:rsidR="00626A3D" w:rsidTr="00626A3D">
        <w:tc>
          <w:tcPr>
            <w:tcW w:w="2689" w:type="dxa"/>
          </w:tcPr>
          <w:p w:rsidR="00626A3D" w:rsidRPr="006B6916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6656" w:type="dxa"/>
          </w:tcPr>
          <w:p w:rsidR="00626A3D" w:rsidRPr="006B6916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</w:p>
        </w:tc>
      </w:tr>
      <w:tr w:rsidR="00626A3D" w:rsidTr="00626A3D">
        <w:tc>
          <w:tcPr>
            <w:tcW w:w="2689" w:type="dxa"/>
          </w:tcPr>
          <w:p w:rsidR="00626A3D" w:rsidRPr="006B6916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6656" w:type="dxa"/>
          </w:tcPr>
          <w:p w:rsidR="00626A3D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626A3D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прозрачности системы муниципального жилищного контроля;</w:t>
            </w:r>
          </w:p>
          <w:p w:rsidR="00626A3D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нарушений субъектами, в отношении которых осуществляется муниципальный жилищный контроль, обязательных требований;</w:t>
            </w:r>
          </w:p>
          <w:p w:rsidR="00626A3D" w:rsidRPr="006B6916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выявление и устранение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 </w:t>
            </w:r>
          </w:p>
        </w:tc>
      </w:tr>
      <w:tr w:rsidR="00626A3D" w:rsidTr="00626A3D">
        <w:tc>
          <w:tcPr>
            <w:tcW w:w="2689" w:type="dxa"/>
          </w:tcPr>
          <w:p w:rsidR="00626A3D" w:rsidRPr="006B6916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656" w:type="dxa"/>
          </w:tcPr>
          <w:p w:rsidR="00626A3D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626A3D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626A3D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337522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337522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повышение квалификации кадрового состава контрольных органов;</w:t>
            </w:r>
          </w:p>
          <w:p w:rsidR="00337522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337522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осуществление анализа выявленных в результате проведения муниципального жилищного контроля нарушений субъектами, в отношении которых осуществляется муниципальный жилищный контроль, обязательных требований;</w:t>
            </w:r>
          </w:p>
          <w:p w:rsidR="00337522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информирование субъектов, в отношении которых осуществляется муниципальный жилищный контроль, о соблюдении обязательных требований;</w:t>
            </w:r>
          </w:p>
          <w:p w:rsidR="00626A3D" w:rsidRPr="006B6916" w:rsidRDefault="00626A3D" w:rsidP="00626A3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принятие мер по устранению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 </w:t>
            </w:r>
          </w:p>
        </w:tc>
      </w:tr>
      <w:tr w:rsidR="00337522" w:rsidTr="00626A3D">
        <w:tc>
          <w:tcPr>
            <w:tcW w:w="2689" w:type="dxa"/>
          </w:tcPr>
          <w:p w:rsidR="00337522" w:rsidRPr="006B6916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656" w:type="dxa"/>
          </w:tcPr>
          <w:p w:rsidR="00337522" w:rsidRPr="006B6916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337522" w:rsidTr="00626A3D">
        <w:tc>
          <w:tcPr>
            <w:tcW w:w="2689" w:type="dxa"/>
          </w:tcPr>
          <w:p w:rsidR="00337522" w:rsidRPr="006B6916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56" w:type="dxa"/>
          </w:tcPr>
          <w:p w:rsidR="00337522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рисков причинения вред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охраняемым законом ценностям;</w:t>
            </w:r>
          </w:p>
          <w:p w:rsidR="00337522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доли законопослушных подконтрольных субъектов-развитие системы профилактических мероприятий контрольного органа;</w:t>
            </w:r>
          </w:p>
          <w:p w:rsidR="00337522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-внедрение различных способов профилактики; 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разработка и внедрение технологий профилактической работы внутри контрольного органа;</w:t>
            </w:r>
          </w:p>
          <w:p w:rsidR="00337522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337522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квалифицированной профилактической работы должностных лиц контрольного органа;</w:t>
            </w:r>
          </w:p>
          <w:p w:rsidR="00337522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прозрачности деятельности контрольного органа;</w:t>
            </w:r>
          </w:p>
          <w:p w:rsidR="00337522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административной нагруз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на подконтрольных субъектах;</w:t>
            </w:r>
          </w:p>
          <w:p w:rsidR="00337522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правовой грамот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подконтрольных субъектов;</w:t>
            </w:r>
          </w:p>
          <w:p w:rsidR="00337522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единообразия понимания предмета контр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подконтрольными субъектами;</w:t>
            </w:r>
          </w:p>
          <w:p w:rsidR="00337522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мотивация подконтрольных субъектов к добросовестному поведению;</w:t>
            </w:r>
          </w:p>
          <w:p w:rsidR="00337522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правосознания и правовой культуры юридических лиц,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предпринимателей;</w:t>
            </w:r>
          </w:p>
          <w:p w:rsidR="00337522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уровня ущерба, причиняемого охраняемым законом ценностям;</w:t>
            </w:r>
          </w:p>
          <w:p w:rsidR="00337522" w:rsidRPr="006B6916" w:rsidRDefault="00337522" w:rsidP="00337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укрепление системы профилактики 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ушений обязательных требований.</w:t>
            </w:r>
          </w:p>
        </w:tc>
      </w:tr>
    </w:tbl>
    <w:p w:rsidR="00626A3D" w:rsidRDefault="00626A3D" w:rsidP="00626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522" w:rsidRPr="00337522" w:rsidRDefault="00337522" w:rsidP="003375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522">
        <w:rPr>
          <w:rFonts w:ascii="Times New Roman" w:eastAsia="Times New Roman" w:hAnsi="Times New Roman"/>
          <w:sz w:val="24"/>
          <w:szCs w:val="24"/>
          <w:lang w:eastAsia="ru-RU"/>
        </w:rPr>
        <w:t>Раздел 1. Аналитическая часть</w:t>
      </w:r>
    </w:p>
    <w:p w:rsidR="00337522" w:rsidRPr="00337522" w:rsidRDefault="00337522" w:rsidP="003375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522" w:rsidRPr="00337522" w:rsidRDefault="00337522" w:rsidP="00337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522">
        <w:rPr>
          <w:rFonts w:ascii="Times New Roman" w:eastAsia="Times New Roman" w:hAnsi="Times New Roman"/>
          <w:sz w:val="24"/>
          <w:szCs w:val="24"/>
          <w:lang w:eastAsia="ru-RU"/>
        </w:rPr>
        <w:t>Муниципальный жилищный контроль осуществляется на основании пункта 6 части 1 статьи 16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131-ФЗ), статьи 20 Жилищного кодекса Российской Федерации.</w:t>
      </w:r>
    </w:p>
    <w:p w:rsidR="00337522" w:rsidRPr="00337522" w:rsidRDefault="00337522" w:rsidP="00337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522">
        <w:rPr>
          <w:rFonts w:ascii="Times New Roman" w:eastAsia="Times New Roman" w:hAnsi="Times New Roman"/>
          <w:sz w:val="24"/>
          <w:szCs w:val="24"/>
          <w:lang w:eastAsia="ru-RU"/>
        </w:rPr>
        <w:t>В качестве подконтрольных субъектов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ительские кооперативы.</w:t>
      </w:r>
    </w:p>
    <w:p w:rsidR="00337522" w:rsidRPr="00337522" w:rsidRDefault="00337522" w:rsidP="00337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522">
        <w:rPr>
          <w:rFonts w:ascii="Times New Roman" w:eastAsia="Times New Roman" w:hAnsi="Times New Roman"/>
          <w:sz w:val="24"/>
          <w:szCs w:val="24"/>
          <w:lang w:eastAsia="ru-RU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337522" w:rsidRPr="00337522" w:rsidRDefault="00337522" w:rsidP="00337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522">
        <w:rPr>
          <w:rFonts w:ascii="Times New Roman" w:eastAsia="Times New Roman" w:hAnsi="Times New Roman"/>
          <w:sz w:val="24"/>
          <w:szCs w:val="24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337522" w:rsidRPr="00337522" w:rsidRDefault="00337522" w:rsidP="00337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522">
        <w:rPr>
          <w:rFonts w:ascii="Times New Roman" w:eastAsia="Times New Roman" w:hAnsi="Times New Roman"/>
          <w:sz w:val="24"/>
          <w:szCs w:val="24"/>
          <w:lang w:eastAsia="ru-RU"/>
        </w:rPr>
        <w:t>- Жилищный кодекс Российской Федерации;</w:t>
      </w:r>
    </w:p>
    <w:p w:rsidR="00337522" w:rsidRPr="00337522" w:rsidRDefault="00337522" w:rsidP="00337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522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337522" w:rsidRPr="00337522" w:rsidRDefault="00337522" w:rsidP="00337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522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337522" w:rsidRPr="00337522" w:rsidRDefault="00337522" w:rsidP="00337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522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337522" w:rsidRPr="00337522" w:rsidRDefault="00337522" w:rsidP="00337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522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337522" w:rsidRPr="00337522" w:rsidRDefault="00337522" w:rsidP="00337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522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2A5C21" w:rsidRDefault="002A5C21" w:rsidP="002A5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Pr="002A5C21" w:rsidRDefault="002A5C21" w:rsidP="002A5C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 2. План мероприятий по профилактике нарушений</w:t>
      </w:r>
    </w:p>
    <w:p w:rsidR="002A5C21" w:rsidRPr="002A5C21" w:rsidRDefault="002A5C21" w:rsidP="002A5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плана мероприятий по профилактике нарушений приведена в приложении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 1 к Программе.</w:t>
      </w:r>
    </w:p>
    <w:p w:rsidR="002A5C21" w:rsidRPr="002A5C21" w:rsidRDefault="002A5C21" w:rsidP="002A5C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3" w:name="P0024"/>
      <w:bookmarkEnd w:id="3"/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>Раздел 3. Ресурсное обеспечение программы</w:t>
      </w:r>
    </w:p>
    <w:p w:rsidR="002A5C21" w:rsidRPr="002A5C21" w:rsidRDefault="002A5C21" w:rsidP="002A5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должностных инструкций исполнение функций по осуществлению муниципального жилищного контроля возложены на главного специалиста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5C21" w:rsidRPr="002A5C21" w:rsidRDefault="002A5C21" w:rsidP="002A5C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4" w:name="P0027"/>
      <w:bookmarkEnd w:id="4"/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>Раздел 4. Отчетные показатели программы</w:t>
      </w:r>
    </w:p>
    <w:p w:rsidR="002A5C21" w:rsidRPr="002A5C21" w:rsidRDefault="002A5C21" w:rsidP="002A5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Pr="002A5C21" w:rsidRDefault="002A5C21" w:rsidP="002A5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>Оценка мероприятий по профилактике нарушений осуществляется по итогам опроса ежегодно до 25 декабря.</w:t>
      </w:r>
    </w:p>
    <w:p w:rsidR="002A5C21" w:rsidRPr="002A5C21" w:rsidRDefault="002A5C21" w:rsidP="002A5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>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</w:t>
      </w:r>
    </w:p>
    <w:p w:rsidR="002A5C21" w:rsidRPr="002A5C21" w:rsidRDefault="002A5C21" w:rsidP="002A5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 проводится должностным лицом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>, в чьи обязанности входит проведение муниципального жилищного контроля в соответствии с должностными обязанностями.</w:t>
      </w:r>
    </w:p>
    <w:p w:rsidR="002A5C21" w:rsidRPr="002A5C21" w:rsidRDefault="002A5C21" w:rsidP="002A5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опроса и информация о достижении отчетных показателей оценки мероприятий по профилактике нарушений размещаются на официальном веб-сайте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Интернет в срок до 25 декабря отчетного года.</w:t>
      </w:r>
    </w:p>
    <w:p w:rsidR="002A5C21" w:rsidRPr="002A5C21" w:rsidRDefault="002A5C21" w:rsidP="002A5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>Форма оценки мероприятий по профилактике нарушений приведена в приложении № 2 к Программе.</w:t>
      </w:r>
      <w:bookmarkStart w:id="5" w:name="P002E"/>
      <w:bookmarkEnd w:id="5"/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Default="00337522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2A5C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691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5C21" w:rsidRPr="006B6916" w:rsidRDefault="002A5C21" w:rsidP="002A5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9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35B3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35B3F">
        <w:rPr>
          <w:rFonts w:ascii="Times New Roman" w:eastAsia="Times New Roman" w:hAnsi="Times New Roman"/>
          <w:sz w:val="24"/>
          <w:szCs w:val="24"/>
          <w:lang w:eastAsia="ru-RU"/>
        </w:rPr>
        <w:br/>
        <w:t>к Программе</w:t>
      </w:r>
    </w:p>
    <w:p w:rsidR="002A5C21" w:rsidRDefault="002A5C21" w:rsidP="002A5C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21" w:rsidRPr="002A5C21" w:rsidRDefault="002A5C21" w:rsidP="002A5C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мероприятий по профилактике нарушений </w:t>
      </w:r>
    </w:p>
    <w:p w:rsidR="00337522" w:rsidRDefault="00337522" w:rsidP="0033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522"/>
        <w:gridCol w:w="1777"/>
        <w:gridCol w:w="1797"/>
        <w:gridCol w:w="3903"/>
      </w:tblGrid>
      <w:tr w:rsidR="008A6804" w:rsidTr="00D35B3F">
        <w:tc>
          <w:tcPr>
            <w:tcW w:w="561" w:type="dxa"/>
          </w:tcPr>
          <w:p w:rsidR="002A5C21" w:rsidRPr="006B6916" w:rsidRDefault="002A5C21" w:rsidP="002A5C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522" w:type="dxa"/>
          </w:tcPr>
          <w:p w:rsidR="00F808A1" w:rsidRDefault="002A5C21" w:rsidP="002A5C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 по профилактике нарушений</w:t>
            </w:r>
          </w:p>
          <w:p w:rsidR="002A5C21" w:rsidRPr="006B6916" w:rsidRDefault="002A5C21" w:rsidP="002A5C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1777" w:type="dxa"/>
          </w:tcPr>
          <w:p w:rsidR="002A5C21" w:rsidRPr="006B6916" w:rsidRDefault="002A5C21" w:rsidP="002A5C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97" w:type="dxa"/>
          </w:tcPr>
          <w:p w:rsidR="002A5C21" w:rsidRPr="006B6916" w:rsidRDefault="002A5C21" w:rsidP="002A5C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3903" w:type="dxa"/>
          </w:tcPr>
          <w:p w:rsidR="002A5C21" w:rsidRPr="006B6916" w:rsidRDefault="002A5C21" w:rsidP="002A5C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A5C21" w:rsidTr="00D35B3F">
        <w:tc>
          <w:tcPr>
            <w:tcW w:w="561" w:type="dxa"/>
          </w:tcPr>
          <w:p w:rsidR="002A5C21" w:rsidRPr="006B6916" w:rsidRDefault="002A5C21" w:rsidP="00FA20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</w:tcPr>
          <w:p w:rsidR="002A5C21" w:rsidRPr="006B6916" w:rsidRDefault="002A5C21" w:rsidP="00FA205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Формирование, ведение (актуализация) и размещение на официальном веб-сайте администрации сельского поселения </w:t>
            </w:r>
            <w:r w:rsidR="00FA2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</w:t>
            </w:r>
            <w:r w:rsidR="00FA2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r w:rsidR="00FA2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</w:t>
            </w:r>
            <w:r w:rsidR="00FA2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нормативных правовых актов</w:t>
            </w:r>
          </w:p>
        </w:tc>
        <w:tc>
          <w:tcPr>
            <w:tcW w:w="1777" w:type="dxa"/>
          </w:tcPr>
          <w:p w:rsidR="002A5C21" w:rsidRPr="00D35B3F" w:rsidRDefault="002A5C2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необходимости, но не реже одного раза в год</w:t>
            </w:r>
            <w:r w:rsidR="00FA2051"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(сентябрь) </w:t>
            </w:r>
          </w:p>
        </w:tc>
        <w:tc>
          <w:tcPr>
            <w:tcW w:w="1797" w:type="dxa"/>
          </w:tcPr>
          <w:p w:rsidR="002A5C2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903" w:type="dxa"/>
          </w:tcPr>
          <w:p w:rsidR="002A5C21" w:rsidRPr="00D35B3F" w:rsidRDefault="002A5C2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Стимулирование добровольного соблюдения требований законодательства Российской Федерации, законодательства Ханты-Мансийского автономного округа-Югры, за нарушение которых предусмотрена административная и иная ответственность (далее </w:t>
            </w:r>
            <w:r w:rsidR="00FA2051"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обязательные требования).</w:t>
            </w: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Повышение</w:t>
            </w:r>
            <w:r w:rsidR="00FA2051"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информированности и уровня понимания юридическими лицами, индивидуальными предпринимателями, гражданами, органами государственной власти и органами местного самоуправления (далее</w:t>
            </w:r>
            <w:r w:rsidR="00FA2051"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подконтрольные субъекты) обязательных требований, </w:t>
            </w:r>
            <w:r w:rsidR="00FA2051"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также рисков их несоблюдения</w:t>
            </w:r>
          </w:p>
        </w:tc>
      </w:tr>
      <w:tr w:rsidR="00FA2051" w:rsidTr="00D35B3F">
        <w:tc>
          <w:tcPr>
            <w:tcW w:w="561" w:type="dxa"/>
          </w:tcPr>
          <w:p w:rsidR="00FA2051" w:rsidRPr="006B6916" w:rsidRDefault="00FA2051" w:rsidP="00FA20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</w:tcPr>
          <w:p w:rsidR="00FA2051" w:rsidRPr="006B6916" w:rsidRDefault="00FA2051" w:rsidP="00FA205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размещение на официальном сайте органов местного самоуправления руководств по соблюдению обязательн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требований законодательства</w:t>
            </w:r>
          </w:p>
        </w:tc>
        <w:tc>
          <w:tcPr>
            <w:tcW w:w="1777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мере необходимости, но не реже одного раза в год </w:t>
            </w:r>
          </w:p>
        </w:tc>
        <w:tc>
          <w:tcPr>
            <w:tcW w:w="1797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903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8A6804" w:rsidTr="00D35B3F">
        <w:tc>
          <w:tcPr>
            <w:tcW w:w="561" w:type="dxa"/>
          </w:tcPr>
          <w:p w:rsidR="00FA2051" w:rsidRPr="006B6916" w:rsidRDefault="00FA2051" w:rsidP="00FA20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</w:tcPr>
          <w:p w:rsidR="00FA2051" w:rsidRPr="006B6916" w:rsidRDefault="00FA2051" w:rsidP="00FA205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индивидуальных и публичных консультаций с подконтрольными субъектами по разъяснению обязательн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требований законодательства</w:t>
            </w:r>
          </w:p>
        </w:tc>
        <w:tc>
          <w:tcPr>
            <w:tcW w:w="1777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мере необходимости, но не реже одного раза в год </w:t>
            </w:r>
          </w:p>
        </w:tc>
        <w:tc>
          <w:tcPr>
            <w:tcW w:w="1797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903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FA2051" w:rsidTr="00D35B3F">
        <w:tc>
          <w:tcPr>
            <w:tcW w:w="561" w:type="dxa"/>
          </w:tcPr>
          <w:p w:rsidR="00FA2051" w:rsidRPr="006B6916" w:rsidRDefault="00FA2051" w:rsidP="00FA20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</w:tcPr>
          <w:p w:rsidR="00FA2051" w:rsidRPr="006B6916" w:rsidRDefault="00FA2051" w:rsidP="00FA205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требований законодательства, предъявляемых при осущест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влении муниципального контроля</w:t>
            </w:r>
          </w:p>
        </w:tc>
        <w:tc>
          <w:tcPr>
            <w:tcW w:w="1777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 мере необходимости, но не реже одного раза в год </w:t>
            </w:r>
          </w:p>
        </w:tc>
        <w:tc>
          <w:tcPr>
            <w:tcW w:w="1797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903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FA2051" w:rsidTr="00D35B3F">
        <w:tc>
          <w:tcPr>
            <w:tcW w:w="561" w:type="dxa"/>
          </w:tcPr>
          <w:p w:rsidR="00FA2051" w:rsidRPr="006B6916" w:rsidRDefault="00FA2051" w:rsidP="00FA20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</w:tcPr>
          <w:p w:rsidR="00FA2051" w:rsidRPr="006B6916" w:rsidRDefault="00FA2051" w:rsidP="00FA205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жилищного контроля и размещение на официальном веб-сайте администрации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 в цел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недопущения таких нарушений</w:t>
            </w:r>
          </w:p>
        </w:tc>
        <w:tc>
          <w:tcPr>
            <w:tcW w:w="1777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мере необходимости, но не реже одного раза в год </w:t>
            </w:r>
          </w:p>
        </w:tc>
        <w:tc>
          <w:tcPr>
            <w:tcW w:w="1797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903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</w:t>
            </w:r>
          </w:p>
        </w:tc>
      </w:tr>
      <w:tr w:rsidR="00FA2051" w:rsidTr="00D35B3F">
        <w:tc>
          <w:tcPr>
            <w:tcW w:w="561" w:type="dxa"/>
          </w:tcPr>
          <w:p w:rsidR="00FA2051" w:rsidRPr="006B6916" w:rsidRDefault="00FA2051" w:rsidP="00FA20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</w:tcPr>
          <w:p w:rsidR="00FA2051" w:rsidRPr="006B6916" w:rsidRDefault="00FA2051" w:rsidP="00FA205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направление в рамках полномочий предостережений о недопустимости 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ушения обязательных требований</w:t>
            </w:r>
          </w:p>
        </w:tc>
        <w:tc>
          <w:tcPr>
            <w:tcW w:w="1777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мере необходимости, но не реже одного раза в год </w:t>
            </w:r>
          </w:p>
        </w:tc>
        <w:tc>
          <w:tcPr>
            <w:tcW w:w="1797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903" w:type="dxa"/>
          </w:tcPr>
          <w:p w:rsidR="00FA2051" w:rsidRPr="00D35B3F" w:rsidRDefault="00FA2051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Предотвращение нарушений обязательных требований законодательства</w:t>
            </w:r>
          </w:p>
        </w:tc>
      </w:tr>
      <w:tr w:rsidR="00D35B3F" w:rsidTr="00EE4D30">
        <w:tc>
          <w:tcPr>
            <w:tcW w:w="561" w:type="dxa"/>
            <w:vMerge w:val="restart"/>
          </w:tcPr>
          <w:p w:rsidR="00D35B3F" w:rsidRPr="006B6916" w:rsidRDefault="00D35B3F" w:rsidP="008A68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9" w:type="dxa"/>
            <w:gridSpan w:val="4"/>
          </w:tcPr>
          <w:p w:rsidR="00D35B3F" w:rsidRPr="006B6916" w:rsidRDefault="00D35B3F" w:rsidP="008A68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веб-сайте администрации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Выкатной 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информаци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D35B3F" w:rsidTr="00D35B3F">
        <w:tc>
          <w:tcPr>
            <w:tcW w:w="561" w:type="dxa"/>
            <w:vMerge/>
          </w:tcPr>
          <w:p w:rsidR="00D35B3F" w:rsidRPr="006B6916" w:rsidRDefault="00D35B3F" w:rsidP="008A68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</w:tcPr>
          <w:p w:rsidR="00D35B3F" w:rsidRPr="006B6916" w:rsidRDefault="00D35B3F" w:rsidP="008A68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 проведения плановых проверок </w:t>
            </w:r>
          </w:p>
        </w:tc>
        <w:tc>
          <w:tcPr>
            <w:tcW w:w="1777" w:type="dxa"/>
          </w:tcPr>
          <w:p w:rsidR="00D35B3F" w:rsidRPr="00D35B3F" w:rsidRDefault="00D35B3F" w:rsidP="00D35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10 дней с даты утверждения </w:t>
            </w:r>
          </w:p>
        </w:tc>
        <w:tc>
          <w:tcPr>
            <w:tcW w:w="1797" w:type="dxa"/>
          </w:tcPr>
          <w:p w:rsidR="00D35B3F" w:rsidRPr="00D35B3F" w:rsidRDefault="00D35B3F" w:rsidP="00D35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903" w:type="dxa"/>
          </w:tcPr>
          <w:p w:rsidR="00D35B3F" w:rsidRPr="00D35B3F" w:rsidRDefault="00D35B3F" w:rsidP="00D35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D35B3F" w:rsidTr="00D35B3F">
        <w:tc>
          <w:tcPr>
            <w:tcW w:w="561" w:type="dxa"/>
            <w:vMerge/>
          </w:tcPr>
          <w:p w:rsidR="00D35B3F" w:rsidRPr="006B6916" w:rsidRDefault="00D35B3F" w:rsidP="008A68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</w:tcPr>
          <w:p w:rsidR="00D35B3F" w:rsidRPr="006B6916" w:rsidRDefault="00D35B3F" w:rsidP="008A68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информации о результатах муниципального жилищного контроля </w:t>
            </w:r>
          </w:p>
        </w:tc>
        <w:tc>
          <w:tcPr>
            <w:tcW w:w="1777" w:type="dxa"/>
          </w:tcPr>
          <w:p w:rsidR="00D35B3F" w:rsidRPr="00D35B3F" w:rsidRDefault="00D35B3F" w:rsidP="00D35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Один раз в полугодие, до 10 числа, следующего за отчетным </w:t>
            </w:r>
          </w:p>
        </w:tc>
        <w:tc>
          <w:tcPr>
            <w:tcW w:w="1797" w:type="dxa"/>
          </w:tcPr>
          <w:p w:rsidR="00D35B3F" w:rsidRPr="00D35B3F" w:rsidRDefault="00D35B3F" w:rsidP="00D35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903" w:type="dxa"/>
          </w:tcPr>
          <w:p w:rsidR="00D35B3F" w:rsidRPr="00D35B3F" w:rsidRDefault="00D35B3F" w:rsidP="00D35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8A6804" w:rsidTr="00D35B3F">
        <w:tc>
          <w:tcPr>
            <w:tcW w:w="561" w:type="dxa"/>
          </w:tcPr>
          <w:p w:rsidR="008A6804" w:rsidRPr="006B6916" w:rsidRDefault="008A6804" w:rsidP="008A68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522" w:type="dxa"/>
          </w:tcPr>
          <w:p w:rsidR="008A6804" w:rsidRPr="006B6916" w:rsidRDefault="008A6804" w:rsidP="008A68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оценке эффективности и результативности профилактических мероприятий с учетом целевых показателей </w:t>
            </w:r>
          </w:p>
        </w:tc>
        <w:tc>
          <w:tcPr>
            <w:tcW w:w="1777" w:type="dxa"/>
          </w:tcPr>
          <w:p w:rsidR="008A6804" w:rsidRPr="00D35B3F" w:rsidRDefault="008A6804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</w:t>
            </w: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не позднее 30 марта года, следующего за отчетным </w:t>
            </w:r>
          </w:p>
        </w:tc>
        <w:tc>
          <w:tcPr>
            <w:tcW w:w="1797" w:type="dxa"/>
          </w:tcPr>
          <w:p w:rsidR="008A6804" w:rsidRPr="00D35B3F" w:rsidRDefault="008A6804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903" w:type="dxa"/>
          </w:tcPr>
          <w:p w:rsidR="008A6804" w:rsidRPr="00D35B3F" w:rsidRDefault="008A6804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эффективности и результативности профилактических мероприятий за отчетный (прошедший) год </w:t>
            </w:r>
          </w:p>
        </w:tc>
      </w:tr>
      <w:tr w:rsidR="008A6804" w:rsidTr="00D35B3F">
        <w:tc>
          <w:tcPr>
            <w:tcW w:w="561" w:type="dxa"/>
          </w:tcPr>
          <w:p w:rsidR="008A6804" w:rsidRPr="006B6916" w:rsidRDefault="008A6804" w:rsidP="008A68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522" w:type="dxa"/>
          </w:tcPr>
          <w:p w:rsidR="008A6804" w:rsidRPr="006B6916" w:rsidRDefault="008A6804" w:rsidP="008A68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 и плановый период 2023-2024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777" w:type="dxa"/>
          </w:tcPr>
          <w:p w:rsidR="008A6804" w:rsidRPr="00D35B3F" w:rsidRDefault="008A6804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20 декабря текущего года </w:t>
            </w:r>
          </w:p>
        </w:tc>
        <w:tc>
          <w:tcPr>
            <w:tcW w:w="1797" w:type="dxa"/>
          </w:tcPr>
          <w:p w:rsidR="008A6804" w:rsidRPr="00D35B3F" w:rsidRDefault="008A6804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903" w:type="dxa"/>
          </w:tcPr>
          <w:p w:rsidR="008A6804" w:rsidRPr="00D35B3F" w:rsidRDefault="008A6804" w:rsidP="00D35B3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Утверждение новой программы профилактики </w:t>
            </w:r>
          </w:p>
        </w:tc>
      </w:tr>
    </w:tbl>
    <w:p w:rsidR="002A5C21" w:rsidRDefault="002A5C21" w:rsidP="0033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804" w:rsidRDefault="008A6804" w:rsidP="0033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A6804" w:rsidSect="002A5C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6804" w:rsidRPr="008A6804" w:rsidRDefault="008A6804" w:rsidP="008A68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8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35B3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D35B3F">
        <w:rPr>
          <w:rFonts w:ascii="Times New Roman" w:eastAsia="Times New Roman" w:hAnsi="Times New Roman"/>
          <w:sz w:val="24"/>
          <w:szCs w:val="24"/>
          <w:lang w:eastAsia="ru-RU"/>
        </w:rPr>
        <w:br/>
        <w:t>к Программе</w:t>
      </w:r>
    </w:p>
    <w:p w:rsidR="008A6804" w:rsidRDefault="008A6804" w:rsidP="008A68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804" w:rsidRPr="008A6804" w:rsidRDefault="008A6804" w:rsidP="008A68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804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мероприятий по профилактике нарушений </w:t>
      </w:r>
    </w:p>
    <w:p w:rsidR="008A6804" w:rsidRDefault="008A6804" w:rsidP="008A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F836D2" w:rsidTr="00F836D2">
        <w:tc>
          <w:tcPr>
            <w:tcW w:w="7083" w:type="dxa"/>
          </w:tcPr>
          <w:p w:rsidR="00F836D2" w:rsidRPr="006B6916" w:rsidRDefault="00F836D2" w:rsidP="00F836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отчетного показателя</w:t>
            </w:r>
          </w:p>
        </w:tc>
        <w:tc>
          <w:tcPr>
            <w:tcW w:w="2261" w:type="dxa"/>
          </w:tcPr>
          <w:p w:rsidR="00F836D2" w:rsidRPr="006B6916" w:rsidRDefault="00F836D2" w:rsidP="00F836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отчетного показателя (%)</w:t>
            </w:r>
          </w:p>
        </w:tc>
      </w:tr>
      <w:tr w:rsidR="00F836D2" w:rsidTr="00F836D2">
        <w:tc>
          <w:tcPr>
            <w:tcW w:w="7083" w:type="dxa"/>
          </w:tcPr>
          <w:p w:rsidR="00F836D2" w:rsidRPr="006B6916" w:rsidRDefault="00F836D2" w:rsidP="00F836D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2261" w:type="dxa"/>
          </w:tcPr>
          <w:p w:rsidR="00F836D2" w:rsidRDefault="00D35B3F" w:rsidP="00D35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36D2" w:rsidTr="00F836D2">
        <w:tc>
          <w:tcPr>
            <w:tcW w:w="7083" w:type="dxa"/>
          </w:tcPr>
          <w:p w:rsidR="00F836D2" w:rsidRPr="006B6916" w:rsidRDefault="00F836D2" w:rsidP="00F836D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2261" w:type="dxa"/>
          </w:tcPr>
          <w:p w:rsidR="00F836D2" w:rsidRDefault="00D35B3F" w:rsidP="00D35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5B3F" w:rsidTr="00F836D2">
        <w:tc>
          <w:tcPr>
            <w:tcW w:w="7083" w:type="dxa"/>
          </w:tcPr>
          <w:p w:rsidR="00D35B3F" w:rsidRPr="006B6916" w:rsidRDefault="00D35B3F" w:rsidP="00D35B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261" w:type="dxa"/>
          </w:tcPr>
          <w:p w:rsidR="00D35B3F" w:rsidRDefault="00D35B3F" w:rsidP="00D35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5B3F" w:rsidTr="00F836D2">
        <w:tc>
          <w:tcPr>
            <w:tcW w:w="7083" w:type="dxa"/>
          </w:tcPr>
          <w:p w:rsidR="00D35B3F" w:rsidRPr="006B6916" w:rsidRDefault="00D35B3F" w:rsidP="00D35B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Информированность подконтрольных субъектов о порядке проведения проверок, правах подконтрольных субъектов при проведении проверки </w:t>
            </w:r>
          </w:p>
        </w:tc>
        <w:tc>
          <w:tcPr>
            <w:tcW w:w="2261" w:type="dxa"/>
          </w:tcPr>
          <w:p w:rsidR="00D35B3F" w:rsidRDefault="00D35B3F" w:rsidP="00D35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5B3F" w:rsidTr="00F836D2">
        <w:tc>
          <w:tcPr>
            <w:tcW w:w="7083" w:type="dxa"/>
          </w:tcPr>
          <w:p w:rsidR="00D35B3F" w:rsidRPr="006B6916" w:rsidRDefault="00D35B3F" w:rsidP="00D35B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выданных предостережений о недопустимости нарушения обязательных требований </w:t>
            </w:r>
          </w:p>
        </w:tc>
        <w:tc>
          <w:tcPr>
            <w:tcW w:w="2261" w:type="dxa"/>
          </w:tcPr>
          <w:p w:rsidR="00D35B3F" w:rsidRDefault="00D35B3F" w:rsidP="00D35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5B3F" w:rsidTr="00F836D2">
        <w:tc>
          <w:tcPr>
            <w:tcW w:w="7083" w:type="dxa"/>
          </w:tcPr>
          <w:p w:rsidR="00D35B3F" w:rsidRPr="006B6916" w:rsidRDefault="00D35B3F" w:rsidP="00D35B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профилактических программных мероприятий согласно перечню </w:t>
            </w:r>
          </w:p>
        </w:tc>
        <w:tc>
          <w:tcPr>
            <w:tcW w:w="2261" w:type="dxa"/>
          </w:tcPr>
          <w:p w:rsidR="00D35B3F" w:rsidRDefault="00D35B3F" w:rsidP="00D35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A6804" w:rsidRPr="00626A3D" w:rsidRDefault="008A6804" w:rsidP="008A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6804" w:rsidRPr="00626A3D" w:rsidSect="008A6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E8"/>
    <w:rsid w:val="000C2896"/>
    <w:rsid w:val="00131BAC"/>
    <w:rsid w:val="00185933"/>
    <w:rsid w:val="002A5C21"/>
    <w:rsid w:val="00337522"/>
    <w:rsid w:val="004B29E8"/>
    <w:rsid w:val="00626A3D"/>
    <w:rsid w:val="008A6804"/>
    <w:rsid w:val="00D35B3F"/>
    <w:rsid w:val="00E12ACD"/>
    <w:rsid w:val="00F808A1"/>
    <w:rsid w:val="00F836D2"/>
    <w:rsid w:val="00FA2051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C3BB"/>
  <w15:chartTrackingRefBased/>
  <w15:docId w15:val="{D3E2C69A-106F-4A03-AA5F-29D7480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2021-02-17T10:02:00Z</cp:lastPrinted>
  <dcterms:created xsi:type="dcterms:W3CDTF">2021-01-25T11:39:00Z</dcterms:created>
  <dcterms:modified xsi:type="dcterms:W3CDTF">2021-02-17T10:02:00Z</dcterms:modified>
</cp:coreProperties>
</file>